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000" w:firstRow="0" w:lastRow="0" w:firstColumn="0" w:lastColumn="0" w:noHBand="0" w:noVBand="0"/>
      </w:tblPr>
      <w:tblGrid>
        <w:gridCol w:w="638"/>
        <w:gridCol w:w="9771"/>
        <w:gridCol w:w="614"/>
      </w:tblGrid>
      <w:tr w:rsidR="0011068A" w14:paraId="3F01B947" w14:textId="77777777">
        <w:trPr>
          <w:trHeight w:val="99"/>
        </w:trPr>
        <w:tc>
          <w:tcPr>
            <w:tcW w:w="638" w:type="dxa"/>
          </w:tcPr>
          <w:p w14:paraId="673D2C5C" w14:textId="77777777" w:rsidR="0011068A" w:rsidRDefault="0011068A">
            <w:pPr>
              <w:pStyle w:val="EmptyCellLayoutStyle"/>
              <w:spacing w:after="0" w:line="240" w:lineRule="auto"/>
            </w:pPr>
          </w:p>
        </w:tc>
        <w:tc>
          <w:tcPr>
            <w:tcW w:w="9771" w:type="dxa"/>
          </w:tcPr>
          <w:p w14:paraId="30DBBC2F" w14:textId="77777777" w:rsidR="0011068A" w:rsidRDefault="0011068A">
            <w:pPr>
              <w:pStyle w:val="EmptyCellLayoutStyle"/>
              <w:spacing w:after="0" w:line="240" w:lineRule="auto"/>
            </w:pPr>
          </w:p>
        </w:tc>
        <w:tc>
          <w:tcPr>
            <w:tcW w:w="614" w:type="dxa"/>
          </w:tcPr>
          <w:p w14:paraId="78CF2D17" w14:textId="77777777" w:rsidR="0011068A" w:rsidRDefault="0011068A">
            <w:pPr>
              <w:pStyle w:val="EmptyCellLayoutStyle"/>
              <w:spacing w:after="0" w:line="240" w:lineRule="auto"/>
            </w:pPr>
          </w:p>
        </w:tc>
      </w:tr>
      <w:tr w:rsidR="0011068A" w14:paraId="14A2022F" w14:textId="77777777">
        <w:tc>
          <w:tcPr>
            <w:tcW w:w="638" w:type="dxa"/>
          </w:tcPr>
          <w:p w14:paraId="402D9E40" w14:textId="77777777" w:rsidR="0011068A" w:rsidRDefault="0011068A">
            <w:pPr>
              <w:pStyle w:val="EmptyCellLayoutStyle"/>
              <w:spacing w:after="0" w:line="240" w:lineRule="auto"/>
            </w:pPr>
          </w:p>
        </w:tc>
        <w:tc>
          <w:tcPr>
            <w:tcW w:w="9771" w:type="dxa"/>
          </w:tcPr>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9771"/>
            </w:tblGrid>
            <w:tr w:rsidR="0011068A" w14:paraId="7C8C97DE" w14:textId="77777777">
              <w:trPr>
                <w:trHeight w:val="12889"/>
              </w:trPr>
              <w:tc>
                <w:tcPr>
                  <w:tcW w:w="9771" w:type="dxa"/>
                  <w:tcBorders>
                    <w:top w:val="nil"/>
                    <w:left w:val="nil"/>
                    <w:bottom w:val="nil"/>
                    <w:right w:val="nil"/>
                  </w:tcBorders>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3257"/>
                    <w:gridCol w:w="3257"/>
                    <w:gridCol w:w="3257"/>
                  </w:tblGrid>
                  <w:tr w:rsidR="0011068A" w14:paraId="32DD7E97" w14:textId="77777777">
                    <w:trPr>
                      <w:trHeight w:val="986"/>
                    </w:trPr>
                    <w:tc>
                      <w:tcPr>
                        <w:tcW w:w="3257" w:type="dxa"/>
                        <w:tcBorders>
                          <w:top w:val="nil"/>
                          <w:left w:val="nil"/>
                          <w:bottom w:val="nil"/>
                          <w:right w:val="nil"/>
                        </w:tcBorders>
                        <w:tcMar>
                          <w:top w:w="39" w:type="dxa"/>
                          <w:left w:w="39" w:type="dxa"/>
                          <w:bottom w:w="39" w:type="dxa"/>
                          <w:right w:w="39" w:type="dxa"/>
                        </w:tcMar>
                      </w:tcPr>
                      <w:p w14:paraId="311CE5B4" w14:textId="77777777" w:rsidR="0011068A" w:rsidRDefault="0011068A">
                        <w:pPr>
                          <w:spacing w:after="0" w:line="240" w:lineRule="auto"/>
                        </w:pPr>
                      </w:p>
                    </w:tc>
                    <w:tc>
                      <w:tcPr>
                        <w:tcW w:w="3257" w:type="dxa"/>
                        <w:tcBorders>
                          <w:top w:val="nil"/>
                          <w:left w:val="nil"/>
                          <w:bottom w:val="nil"/>
                          <w:right w:val="nil"/>
                        </w:tcBorders>
                        <w:tcMar>
                          <w:top w:w="0" w:type="dxa"/>
                          <w:left w:w="0" w:type="dxa"/>
                          <w:bottom w:w="0" w:type="dxa"/>
                          <w:right w:w="0" w:type="dxa"/>
                        </w:tcMar>
                      </w:tcPr>
                      <w:p w14:paraId="3CA4E5CF" w14:textId="77777777" w:rsidR="0011068A" w:rsidRDefault="00000000">
                        <w:pPr>
                          <w:spacing w:after="0" w:line="240" w:lineRule="auto"/>
                        </w:pPr>
                        <w:r>
                          <w:rPr>
                            <w:noProof/>
                          </w:rPr>
                          <w:drawing>
                            <wp:inline distT="0" distB="0" distL="0" distR="0" wp14:anchorId="22B8723A" wp14:editId="1902E481">
                              <wp:extent cx="2068344" cy="406073"/>
                              <wp:effectExtent l="0" t="0" r="0" b="0"/>
                              <wp:docPr id="1" name="img2.jp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cstate="print"/>
                                      <a:srcRect/>
                                      <a:stretch>
                                        <a:fillRect/>
                                      </a:stretch>
                                    </pic:blipFill>
                                    <pic:spPr bwMode="auto">
                                      <a:xfrm>
                                        <a:off x="0" y="0"/>
                                        <a:ext cx="2068344" cy="406073"/>
                                      </a:xfrm>
                                      <a:prstGeom prst="rect">
                                        <a:avLst/>
                                      </a:prstGeom>
                                    </pic:spPr>
                                  </pic:pic>
                                </a:graphicData>
                              </a:graphic>
                            </wp:inline>
                          </w:drawing>
                        </w:r>
                      </w:p>
                    </w:tc>
                    <w:tc>
                      <w:tcPr>
                        <w:tcW w:w="3257" w:type="dxa"/>
                        <w:tcBorders>
                          <w:top w:val="nil"/>
                          <w:left w:val="nil"/>
                          <w:bottom w:val="nil"/>
                          <w:right w:val="nil"/>
                        </w:tcBorders>
                        <w:tcMar>
                          <w:top w:w="39" w:type="dxa"/>
                          <w:left w:w="39" w:type="dxa"/>
                          <w:bottom w:w="39" w:type="dxa"/>
                          <w:right w:w="39" w:type="dxa"/>
                        </w:tcMar>
                      </w:tcPr>
                      <w:p w14:paraId="1D11119D" w14:textId="77777777" w:rsidR="0011068A" w:rsidRDefault="0011068A">
                        <w:pPr>
                          <w:spacing w:after="0" w:line="240" w:lineRule="auto"/>
                        </w:pPr>
                      </w:p>
                    </w:tc>
                  </w:tr>
                  <w:tr w:rsidR="0011068A" w14:paraId="318AF00E" w14:textId="77777777">
                    <w:trPr>
                      <w:trHeight w:val="1076"/>
                    </w:trPr>
                    <w:tc>
                      <w:tcPr>
                        <w:tcW w:w="3257" w:type="dxa"/>
                        <w:gridSpan w:val="3"/>
                        <w:tcBorders>
                          <w:top w:val="nil"/>
                          <w:left w:val="nil"/>
                          <w:bottom w:val="nil"/>
                          <w:right w:val="nil"/>
                        </w:tcBorders>
                        <w:tcMar>
                          <w:top w:w="39" w:type="dxa"/>
                          <w:left w:w="39" w:type="dxa"/>
                          <w:bottom w:w="39" w:type="dxa"/>
                          <w:right w:w="39" w:type="dxa"/>
                        </w:tcMar>
                      </w:tcPr>
                      <w:p w14:paraId="764E366D" w14:textId="77777777" w:rsidR="0011068A" w:rsidRDefault="0011068A">
                        <w:pPr>
                          <w:spacing w:after="0" w:line="240" w:lineRule="auto"/>
                        </w:pPr>
                      </w:p>
                    </w:tc>
                  </w:tr>
                  <w:tr w:rsidR="0011068A" w14:paraId="7252DB61" w14:textId="77777777">
                    <w:trPr>
                      <w:trHeight w:val="1751"/>
                    </w:trPr>
                    <w:tc>
                      <w:tcPr>
                        <w:tcW w:w="3257" w:type="dxa"/>
                        <w:tcBorders>
                          <w:top w:val="nil"/>
                          <w:left w:val="nil"/>
                          <w:bottom w:val="nil"/>
                          <w:right w:val="nil"/>
                        </w:tcBorders>
                        <w:tcMar>
                          <w:top w:w="39" w:type="dxa"/>
                          <w:left w:w="39" w:type="dxa"/>
                          <w:bottom w:w="39" w:type="dxa"/>
                          <w:right w:w="39" w:type="dxa"/>
                        </w:tcMar>
                      </w:tcPr>
                      <w:p w14:paraId="3A2817B0" w14:textId="77777777" w:rsidR="0011068A" w:rsidRDefault="0011068A">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2F21832B" w14:textId="77777777" w:rsidR="0011068A" w:rsidRDefault="0011068A">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33B1E65C" w14:textId="77777777" w:rsidR="0011068A" w:rsidRDefault="00000000">
                        <w:pPr>
                          <w:spacing w:after="0" w:line="240" w:lineRule="auto"/>
                          <w:jc w:val="center"/>
                        </w:pPr>
                        <w:r>
                          <w:rPr>
                            <w:color w:val="000000"/>
                            <w:sz w:val="24"/>
                          </w:rPr>
                          <w:t>TVIRTINU:</w:t>
                        </w:r>
                      </w:p>
                      <w:p w14:paraId="56CCB659" w14:textId="77777777" w:rsidR="00782DD8" w:rsidRDefault="00782DD8">
                        <w:pPr>
                          <w:spacing w:after="0" w:line="240" w:lineRule="auto"/>
                          <w:jc w:val="center"/>
                          <w:rPr>
                            <w:color w:val="000000"/>
                            <w:sz w:val="18"/>
                          </w:rPr>
                        </w:pPr>
                      </w:p>
                      <w:p w14:paraId="6B07FBD6" w14:textId="1CA3E674" w:rsidR="0011068A" w:rsidRDefault="00000000">
                        <w:pPr>
                          <w:spacing w:after="0" w:line="240" w:lineRule="auto"/>
                          <w:jc w:val="center"/>
                        </w:pPr>
                        <w:r>
                          <w:rPr>
                            <w:color w:val="000000"/>
                            <w:sz w:val="18"/>
                          </w:rPr>
                          <w:t>(Vardo raidė, pavardė, parašas)</w:t>
                        </w:r>
                      </w:p>
                      <w:p w14:paraId="2C552273" w14:textId="77777777" w:rsidR="0011068A" w:rsidRDefault="00000000">
                        <w:pPr>
                          <w:spacing w:after="0" w:line="240" w:lineRule="auto"/>
                          <w:jc w:val="center"/>
                        </w:pPr>
                        <w:r>
                          <w:rPr>
                            <w:color w:val="000000"/>
                            <w:sz w:val="24"/>
                          </w:rPr>
                          <w:t>____________________</w:t>
                        </w:r>
                      </w:p>
                      <w:p w14:paraId="59176A38" w14:textId="77777777" w:rsidR="0011068A" w:rsidRDefault="00000000">
                        <w:pPr>
                          <w:spacing w:after="0" w:line="240" w:lineRule="auto"/>
                          <w:jc w:val="center"/>
                        </w:pPr>
                        <w:r>
                          <w:rPr>
                            <w:color w:val="000000"/>
                            <w:sz w:val="18"/>
                          </w:rPr>
                          <w:t>(data)</w:t>
                        </w:r>
                      </w:p>
                    </w:tc>
                  </w:tr>
                  <w:tr w:rsidR="0011068A" w14:paraId="7FE54E10" w14:textId="77777777">
                    <w:trPr>
                      <w:trHeight w:val="1361"/>
                    </w:trPr>
                    <w:tc>
                      <w:tcPr>
                        <w:tcW w:w="3257" w:type="dxa"/>
                        <w:gridSpan w:val="3"/>
                        <w:tcBorders>
                          <w:top w:val="nil"/>
                          <w:left w:val="nil"/>
                          <w:bottom w:val="nil"/>
                          <w:right w:val="nil"/>
                        </w:tcBorders>
                        <w:tcMar>
                          <w:top w:w="39" w:type="dxa"/>
                          <w:left w:w="39" w:type="dxa"/>
                          <w:bottom w:w="39" w:type="dxa"/>
                          <w:right w:w="39" w:type="dxa"/>
                        </w:tcMar>
                      </w:tcPr>
                      <w:p w14:paraId="6FB70DCC" w14:textId="77777777" w:rsidR="0011068A" w:rsidRDefault="00000000">
                        <w:pPr>
                          <w:spacing w:after="0" w:line="240" w:lineRule="auto"/>
                          <w:jc w:val="center"/>
                        </w:pPr>
                        <w:r>
                          <w:rPr>
                            <w:b/>
                            <w:color w:val="000000"/>
                            <w:sz w:val="28"/>
                          </w:rPr>
                          <w:t>TECHNINĖ UŽDUOTIS VALSTYBINĖS REIKŠMĖS KELIŲ IR</w:t>
                        </w:r>
                      </w:p>
                      <w:p w14:paraId="5C994B29" w14:textId="77777777" w:rsidR="0011068A" w:rsidRDefault="00000000">
                        <w:pPr>
                          <w:spacing w:after="0" w:line="240" w:lineRule="auto"/>
                          <w:jc w:val="center"/>
                        </w:pPr>
                        <w:r>
                          <w:rPr>
                            <w:b/>
                            <w:color w:val="000000"/>
                            <w:sz w:val="28"/>
                          </w:rPr>
                          <w:t xml:space="preserve"> / ARBA JŲ ELEMENTŲ PROJEKTAVIMUI</w:t>
                        </w:r>
                      </w:p>
                    </w:tc>
                  </w:tr>
                  <w:tr w:rsidR="0011068A" w14:paraId="20C9BFA0" w14:textId="77777777">
                    <w:trPr>
                      <w:trHeight w:val="990"/>
                    </w:trPr>
                    <w:tc>
                      <w:tcPr>
                        <w:tcW w:w="3257" w:type="dxa"/>
                        <w:tcBorders>
                          <w:top w:val="nil"/>
                          <w:left w:val="nil"/>
                          <w:bottom w:val="nil"/>
                          <w:right w:val="nil"/>
                        </w:tcBorders>
                        <w:tcMar>
                          <w:top w:w="39" w:type="dxa"/>
                          <w:left w:w="39" w:type="dxa"/>
                          <w:bottom w:w="39" w:type="dxa"/>
                          <w:right w:w="39" w:type="dxa"/>
                        </w:tcMar>
                      </w:tcPr>
                      <w:p w14:paraId="1AF0CAC7" w14:textId="77777777" w:rsidR="0011068A" w:rsidRDefault="0011068A">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229FFDA6" w14:textId="77777777" w:rsidR="0011068A" w:rsidRDefault="0011068A">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6ED29C79" w14:textId="77777777" w:rsidR="0011068A" w:rsidRDefault="0011068A">
                        <w:pPr>
                          <w:spacing w:after="0" w:line="240" w:lineRule="auto"/>
                        </w:pPr>
                      </w:p>
                    </w:tc>
                  </w:tr>
                  <w:tr w:rsidR="0011068A" w14:paraId="1DB95126" w14:textId="77777777">
                    <w:trPr>
                      <w:trHeight w:val="457"/>
                    </w:trPr>
                    <w:tc>
                      <w:tcPr>
                        <w:tcW w:w="3257" w:type="dxa"/>
                        <w:gridSpan w:val="3"/>
                        <w:tcBorders>
                          <w:top w:val="nil"/>
                          <w:left w:val="nil"/>
                          <w:bottom w:val="nil"/>
                          <w:right w:val="nil"/>
                        </w:tcBorders>
                        <w:tcMar>
                          <w:top w:w="39" w:type="dxa"/>
                          <w:left w:w="39" w:type="dxa"/>
                          <w:bottom w:w="39" w:type="dxa"/>
                          <w:right w:w="39" w:type="dxa"/>
                        </w:tcMar>
                      </w:tcPr>
                      <w:p w14:paraId="76C925BA" w14:textId="77777777" w:rsidR="0011068A" w:rsidRDefault="00000000">
                        <w:pPr>
                          <w:spacing w:after="0" w:line="240" w:lineRule="auto"/>
                        </w:pPr>
                        <w:r>
                          <w:rPr>
                            <w:b/>
                            <w:color w:val="000000"/>
                            <w:sz w:val="24"/>
                          </w:rPr>
                          <w:t xml:space="preserve">1. Statytojas: </w:t>
                        </w:r>
                        <w:r>
                          <w:rPr>
                            <w:color w:val="000000"/>
                            <w:sz w:val="24"/>
                          </w:rPr>
                          <w:t>Akcinė bendrovė Via Lietuva.</w:t>
                        </w:r>
                        <w:r>
                          <w:rPr>
                            <w:color w:val="000000"/>
                            <w:sz w:val="24"/>
                          </w:rPr>
                          <w:br/>
                        </w:r>
                        <w:r>
                          <w:rPr>
                            <w:color w:val="000000"/>
                            <w:sz w:val="24"/>
                          </w:rPr>
                          <w:br/>
                        </w:r>
                        <w:r>
                          <w:rPr>
                            <w:b/>
                            <w:color w:val="000000"/>
                            <w:sz w:val="24"/>
                          </w:rPr>
                          <w:t xml:space="preserve">2. Užsakovas: </w:t>
                        </w:r>
                        <w:r>
                          <w:rPr>
                            <w:color w:val="000000"/>
                            <w:sz w:val="24"/>
                          </w:rPr>
                          <w:t>Akcinė bendrovė Via Lietuva.</w:t>
                        </w:r>
                        <w:r>
                          <w:rPr>
                            <w:color w:val="000000"/>
                            <w:sz w:val="24"/>
                          </w:rPr>
                          <w:br/>
                        </w:r>
                        <w:r>
                          <w:rPr>
                            <w:color w:val="000000"/>
                            <w:sz w:val="24"/>
                          </w:rPr>
                          <w:br/>
                        </w:r>
                        <w:r>
                          <w:rPr>
                            <w:b/>
                            <w:color w:val="000000"/>
                            <w:sz w:val="24"/>
                          </w:rPr>
                          <w:t xml:space="preserve">3. Komplekso pavadinimas: </w:t>
                        </w:r>
                        <w:r>
                          <w:rPr>
                            <w:color w:val="000000"/>
                            <w:sz w:val="24"/>
                          </w:rPr>
                          <w:t>Magistralinio kelio A12 Ryga–Šiauliai–Tauragė–Kaliningradas ruožo nuo 8,02 iki 18,75 km rekonstravimo projekto parengimas ir projekto vykdymo priežiūra.</w:t>
                        </w:r>
                        <w:r>
                          <w:rPr>
                            <w:color w:val="000000"/>
                            <w:sz w:val="24"/>
                          </w:rPr>
                          <w:br/>
                        </w:r>
                        <w:r>
                          <w:rPr>
                            <w:color w:val="000000"/>
                            <w:sz w:val="24"/>
                          </w:rPr>
                          <w:br/>
                        </w:r>
                        <w:r>
                          <w:rPr>
                            <w:b/>
                            <w:color w:val="000000"/>
                            <w:sz w:val="24"/>
                          </w:rPr>
                          <w:t xml:space="preserve">4. Projekto pavadinimas: </w:t>
                        </w:r>
                        <w:r>
                          <w:rPr>
                            <w:color w:val="000000"/>
                            <w:sz w:val="24"/>
                          </w:rPr>
                          <w:t>Magistralinio kelio A12 Ryga–Šiauliai–Tauragė–Kaliningradas ruožo nuo 8,02 iki 18,75 km rekonstravimas.</w:t>
                        </w:r>
                        <w:r>
                          <w:rPr>
                            <w:color w:val="000000"/>
                            <w:sz w:val="24"/>
                          </w:rPr>
                          <w:br/>
                        </w:r>
                        <w:r>
                          <w:rPr>
                            <w:color w:val="000000"/>
                            <w:sz w:val="24"/>
                          </w:rPr>
                          <w:br/>
                        </w:r>
                        <w:r>
                          <w:rPr>
                            <w:b/>
                            <w:color w:val="000000"/>
                            <w:sz w:val="24"/>
                          </w:rPr>
                          <w:t xml:space="preserve">5. Statybos rūšis: </w:t>
                        </w:r>
                        <w:r>
                          <w:rPr>
                            <w:color w:val="000000"/>
                            <w:sz w:val="24"/>
                          </w:rPr>
                          <w:t>rekonstravimas.</w:t>
                        </w:r>
                        <w:r>
                          <w:rPr>
                            <w:color w:val="000000"/>
                            <w:sz w:val="24"/>
                          </w:rPr>
                          <w:br/>
                        </w:r>
                        <w:r>
                          <w:rPr>
                            <w:color w:val="000000"/>
                            <w:sz w:val="24"/>
                          </w:rPr>
                          <w:br/>
                        </w:r>
                        <w:r>
                          <w:rPr>
                            <w:b/>
                            <w:color w:val="000000"/>
                            <w:sz w:val="24"/>
                          </w:rPr>
                          <w:t xml:space="preserve">6. Etapas: </w:t>
                        </w:r>
                        <w:r>
                          <w:rPr>
                            <w:color w:val="000000"/>
                            <w:sz w:val="24"/>
                          </w:rPr>
                          <w:t>techninis darbo projektas.</w:t>
                        </w:r>
                        <w:r>
                          <w:rPr>
                            <w:color w:val="000000"/>
                            <w:sz w:val="24"/>
                          </w:rPr>
                          <w:br/>
                        </w:r>
                        <w:r>
                          <w:rPr>
                            <w:color w:val="000000"/>
                            <w:sz w:val="24"/>
                          </w:rPr>
                          <w:br/>
                        </w:r>
                        <w:r>
                          <w:rPr>
                            <w:b/>
                            <w:color w:val="000000"/>
                            <w:sz w:val="24"/>
                          </w:rPr>
                          <w:t xml:space="preserve">7. Statinio kategorija: </w:t>
                        </w:r>
                        <w:r>
                          <w:rPr>
                            <w:color w:val="000000"/>
                            <w:sz w:val="24"/>
                          </w:rPr>
                          <w:t>ypatingasis statinys.</w:t>
                        </w:r>
                        <w:r>
                          <w:rPr>
                            <w:color w:val="000000"/>
                            <w:sz w:val="24"/>
                          </w:rPr>
                          <w:br/>
                        </w:r>
                        <w:r>
                          <w:rPr>
                            <w:color w:val="000000"/>
                            <w:sz w:val="24"/>
                          </w:rPr>
                          <w:br/>
                        </w:r>
                        <w:r>
                          <w:rPr>
                            <w:b/>
                            <w:color w:val="000000"/>
                            <w:sz w:val="24"/>
                          </w:rPr>
                          <w:t xml:space="preserve">8. Statinio rūšis: </w:t>
                        </w:r>
                        <w:r>
                          <w:rPr>
                            <w:color w:val="000000"/>
                            <w:sz w:val="24"/>
                          </w:rPr>
                          <w:t>inžinerinis statinys.</w:t>
                        </w:r>
                        <w:r>
                          <w:rPr>
                            <w:color w:val="000000"/>
                            <w:sz w:val="24"/>
                          </w:rPr>
                          <w:br/>
                        </w:r>
                        <w:r>
                          <w:rPr>
                            <w:color w:val="000000"/>
                            <w:sz w:val="24"/>
                          </w:rPr>
                          <w:br/>
                        </w:r>
                        <w:r>
                          <w:rPr>
                            <w:b/>
                            <w:color w:val="000000"/>
                            <w:sz w:val="24"/>
                          </w:rPr>
                          <w:t xml:space="preserve">9. Inžinerinių statinių grupė: </w:t>
                        </w:r>
                        <w:r>
                          <w:rPr>
                            <w:color w:val="000000"/>
                            <w:sz w:val="24"/>
                          </w:rPr>
                          <w:t>susisiekimo komunikacijos, kiti in</w:t>
                        </w:r>
                        <w:r>
                          <w:rPr>
                            <w:color w:val="000000"/>
                            <w:sz w:val="24"/>
                            <w:lang w:val="en-US"/>
                          </w:rPr>
                          <w:t>žineriniai statiniai</w:t>
                        </w:r>
                        <w:r>
                          <w:rPr>
                            <w:color w:val="000000"/>
                            <w:sz w:val="24"/>
                          </w:rPr>
                          <w:br/>
                        </w:r>
                        <w:r>
                          <w:rPr>
                            <w:color w:val="000000"/>
                            <w:sz w:val="24"/>
                          </w:rPr>
                          <w:br/>
                        </w:r>
                        <w:r>
                          <w:rPr>
                            <w:b/>
                            <w:color w:val="000000"/>
                            <w:sz w:val="24"/>
                          </w:rPr>
                          <w:lastRenderedPageBreak/>
                          <w:t xml:space="preserve">10. Inžinerinių statinių pogrupis: </w:t>
                        </w:r>
                        <w:r>
                          <w:rPr>
                            <w:color w:val="000000"/>
                            <w:sz w:val="24"/>
                          </w:rPr>
                          <w:t>keliai, kiti transporto statiniai</w:t>
                        </w:r>
                        <w:r>
                          <w:rPr>
                            <w:color w:val="000000"/>
                            <w:sz w:val="24"/>
                          </w:rPr>
                          <w:br/>
                        </w:r>
                      </w:p>
                    </w:tc>
                  </w:tr>
                  <w:tr w:rsidR="0011068A" w14:paraId="461137CA" w14:textId="77777777">
                    <w:trPr>
                      <w:trHeight w:val="446"/>
                    </w:trPr>
                    <w:tc>
                      <w:tcPr>
                        <w:tcW w:w="3257" w:type="dxa"/>
                        <w:gridSpan w:val="3"/>
                        <w:tcBorders>
                          <w:top w:val="nil"/>
                          <w:left w:val="nil"/>
                          <w:bottom w:val="nil"/>
                          <w:right w:val="nil"/>
                        </w:tcBorders>
                        <w:tcMar>
                          <w:top w:w="39" w:type="dxa"/>
                          <w:left w:w="39" w:type="dxa"/>
                          <w:bottom w:w="39" w:type="dxa"/>
                          <w:right w:w="39" w:type="dxa"/>
                        </w:tcMar>
                      </w:tcPr>
                      <w:p w14:paraId="696AECF4" w14:textId="77777777" w:rsidR="0011068A" w:rsidRDefault="00000000">
                        <w:pPr>
                          <w:spacing w:after="0" w:line="240" w:lineRule="auto"/>
                        </w:pPr>
                        <w:r>
                          <w:rPr>
                            <w:b/>
                            <w:color w:val="000000"/>
                            <w:sz w:val="24"/>
                          </w:rPr>
                          <w:lastRenderedPageBreak/>
                          <w:t>11. Nurodymai statinių ir / arba jų elementų projektavimui ir jų techniniai parametrai:</w:t>
                        </w:r>
                      </w:p>
                    </w:tc>
                  </w:tr>
                  <w:tr w:rsidR="0011068A" w14:paraId="21031F32" w14:textId="77777777">
                    <w:trPr>
                      <w:trHeight w:val="431"/>
                    </w:trPr>
                    <w:tc>
                      <w:tcPr>
                        <w:tcW w:w="3257" w:type="dxa"/>
                        <w:gridSpan w:val="3"/>
                        <w:tcBorders>
                          <w:top w:val="nil"/>
                          <w:left w:val="nil"/>
                          <w:bottom w:val="nil"/>
                          <w:right w:val="nil"/>
                        </w:tcBorders>
                        <w:tcMar>
                          <w:top w:w="39" w:type="dxa"/>
                          <w:left w:w="39" w:type="dxa"/>
                          <w:bottom w:w="39" w:type="dxa"/>
                          <w:right w:w="39" w:type="dxa"/>
                        </w:tcMar>
                      </w:tcPr>
                      <w:p w14:paraId="1D96107C" w14:textId="77777777" w:rsidR="0011068A" w:rsidRDefault="00000000">
                        <w:pPr>
                          <w:spacing w:after="0" w:line="240" w:lineRule="auto"/>
                          <w:ind w:left="720" w:hanging="360"/>
                        </w:pPr>
                        <w:r>
                          <w:rPr>
                            <w:i/>
                            <w:color w:val="000000"/>
                            <w:sz w:val="24"/>
                          </w:rPr>
                          <w:t xml:space="preserve">11.1. numatoma darbų vykdymo riba: </w:t>
                        </w:r>
                        <w:r>
                          <w:rPr>
                            <w:color w:val="000000"/>
                            <w:sz w:val="24"/>
                          </w:rPr>
                          <w:t>Magistralinio kelio A12 Ryga–Šiauliai–Tauragė–Kaliningradas ruožo nuo 8,02 iki 18,75 km (darbų ribas tikslinti projektavimo metu);</w:t>
                        </w:r>
                        <w:r>
                          <w:rPr>
                            <w:color w:val="000000"/>
                            <w:sz w:val="24"/>
                          </w:rPr>
                          <w:br/>
                        </w:r>
                        <w:r>
                          <w:rPr>
                            <w:color w:val="000000"/>
                            <w:sz w:val="24"/>
                          </w:rPr>
                          <w:br/>
                        </w:r>
                        <w:r>
                          <w:rPr>
                            <w:i/>
                            <w:color w:val="000000"/>
                            <w:sz w:val="24"/>
                          </w:rPr>
                          <w:t xml:space="preserve">11.2. kelio (gatvės) kategorija: </w:t>
                        </w:r>
                        <w:r>
                          <w:rPr>
                            <w:color w:val="000000"/>
                            <w:sz w:val="24"/>
                          </w:rPr>
                          <w:t>III; (gyvenvietėje projektuoti pagal STR 2.06.04:2014 „Gatvės ir vietinės reikšmės keliai. Bendrieji reikalavimai“, įvertinus esamą užstatymą, besiribojančius šalia kelio esančius sklypus, atstumus tarp jų ir kt.;</w:t>
                        </w:r>
                        <w:r>
                          <w:rPr>
                            <w:color w:val="000000"/>
                            <w:sz w:val="24"/>
                          </w:rPr>
                          <w:br/>
                        </w:r>
                        <w:r>
                          <w:rPr>
                            <w:color w:val="000000"/>
                            <w:sz w:val="24"/>
                          </w:rPr>
                          <w:br/>
                        </w:r>
                        <w:r>
                          <w:rPr>
                            <w:i/>
                            <w:color w:val="000000"/>
                            <w:sz w:val="24"/>
                          </w:rPr>
                          <w:t xml:space="preserve">11.3. projektavimo paslaugų apimtis: </w:t>
                        </w:r>
                        <w:r>
                          <w:rPr>
                            <w:color w:val="000000"/>
                            <w:sz w:val="24"/>
                          </w:rPr>
                          <w:t>Tiltas per Sidabrą 8,464 km: pakloto (danga, hidroizoliacija, deformaciniai pjūviai, atitvarai (atitvarai, pagal KPT TAS 09 projektavimo taisyklių nurodymus) turėkliniai/atitvarų bortai, šalitilčiai, turėklai) elementų įrengimas, pereinamųjų plokščių ir gulekšnių įrengimas, perdangos rekonstravimas (pakeitimas), atramų rekonstravimas (pakeitimas), atraminių guolių įrengimas, vandens surinkimo ir nuleidimo sistemos įrengimas, kūgių šlaitų sutvirtinimo įrengimas. Svarstyti rėminės konstrukcijos įrengimo galimybę;</w:t>
                        </w:r>
                        <w:r>
                          <w:rPr>
                            <w:color w:val="000000"/>
                            <w:sz w:val="24"/>
                          </w:rPr>
                          <w:br/>
                        </w:r>
                        <w:r>
                          <w:rPr>
                            <w:color w:val="000000"/>
                            <w:sz w:val="24"/>
                          </w:rPr>
                          <w:br/>
                        </w:r>
                        <w:r>
                          <w:rPr>
                            <w:i/>
                            <w:color w:val="000000"/>
                            <w:sz w:val="24"/>
                          </w:rPr>
                          <w:t xml:space="preserve">11.4. tilto / viaduko / estakados apkrovos: </w:t>
                        </w:r>
                        <w:r>
                          <w:rPr>
                            <w:color w:val="000000"/>
                            <w:sz w:val="24"/>
                          </w:rPr>
                          <w:t>Pagal LST EN1991-2;</w:t>
                        </w:r>
                        <w:r>
                          <w:rPr>
                            <w:color w:val="000000"/>
                            <w:sz w:val="24"/>
                          </w:rPr>
                          <w:br/>
                        </w:r>
                        <w:r>
                          <w:rPr>
                            <w:color w:val="000000"/>
                            <w:sz w:val="24"/>
                          </w:rPr>
                          <w:br/>
                        </w:r>
                        <w:r>
                          <w:rPr>
                            <w:i/>
                            <w:color w:val="000000"/>
                            <w:sz w:val="24"/>
                          </w:rPr>
                          <w:t xml:space="preserve">11.5. šalitilčiai: </w:t>
                        </w:r>
                        <w:r>
                          <w:rPr>
                            <w:color w:val="000000"/>
                            <w:sz w:val="24"/>
                          </w:rPr>
                          <w:t>Nustatoma projektavimo metu;</w:t>
                        </w:r>
                        <w:r>
                          <w:rPr>
                            <w:color w:val="000000"/>
                            <w:sz w:val="24"/>
                          </w:rPr>
                          <w:br/>
                        </w:r>
                        <w:r>
                          <w:rPr>
                            <w:color w:val="000000"/>
                            <w:sz w:val="24"/>
                          </w:rPr>
                          <w:br/>
                        </w:r>
                        <w:r>
                          <w:rPr>
                            <w:i/>
                            <w:color w:val="000000"/>
                            <w:sz w:val="24"/>
                          </w:rPr>
                          <w:t xml:space="preserve">11.6. eismo organizavimas: </w:t>
                        </w:r>
                        <w:r>
                          <w:rPr>
                            <w:color w:val="000000"/>
                            <w:sz w:val="24"/>
                          </w:rPr>
                          <w:t>Rekonstravimo metu eismas tiltu bus ribojamas. Turi būti vertinami visi galimi eismo organizavimo būdai nenutraukiant eismo statybos metu (esant būtinybei projektuojamas laikinas statinys). Taip pat vertinti galimybę eismą statybos metu nukreipti apylanka. Išanalizuoti visus galimus eismo organizavimo variantus atsižvelgiant į eismo saugumo reikalavimus, technologiškai bei ekonomiškai pagrįstus pateikti svarstyti užsakovui;</w:t>
                        </w:r>
                        <w:r>
                          <w:rPr>
                            <w:color w:val="000000"/>
                            <w:sz w:val="24"/>
                          </w:rPr>
                          <w:br/>
                        </w:r>
                        <w:r>
                          <w:rPr>
                            <w:color w:val="000000"/>
                            <w:sz w:val="24"/>
                          </w:rPr>
                          <w:br/>
                        </w:r>
                        <w:r>
                          <w:rPr>
                            <w:i/>
                            <w:color w:val="000000"/>
                            <w:sz w:val="24"/>
                          </w:rPr>
                          <w:t xml:space="preserve">11.7. vieno lygio sankryžos: </w:t>
                        </w:r>
                        <w:r>
                          <w:rPr>
                            <w:color w:val="000000"/>
                            <w:sz w:val="24"/>
                          </w:rPr>
                          <w:t>Pagal normatyvinių dokumentų reikalavimus;</w:t>
                        </w:r>
                        <w:r>
                          <w:rPr>
                            <w:color w:val="000000"/>
                            <w:sz w:val="24"/>
                          </w:rPr>
                          <w:br/>
                        </w:r>
                        <w:r>
                          <w:rPr>
                            <w:color w:val="000000"/>
                            <w:sz w:val="24"/>
                          </w:rPr>
                          <w:br/>
                        </w:r>
                        <w:r>
                          <w:rPr>
                            <w:i/>
                            <w:color w:val="000000"/>
                            <w:sz w:val="24"/>
                          </w:rPr>
                          <w:t xml:space="preserve">11.8. tiltai / viadukai / estakados: </w:t>
                        </w:r>
                        <w:r>
                          <w:rPr>
                            <w:color w:val="000000"/>
                            <w:sz w:val="24"/>
                          </w:rPr>
                          <w:t>Tiltas per Sidabrą 8,464 km;</w:t>
                        </w:r>
                        <w:r>
                          <w:rPr>
                            <w:color w:val="000000"/>
                            <w:sz w:val="24"/>
                          </w:rPr>
                          <w:br/>
                        </w:r>
                        <w:r>
                          <w:rPr>
                            <w:color w:val="000000"/>
                            <w:sz w:val="24"/>
                          </w:rPr>
                          <w:br/>
                        </w:r>
                        <w:r>
                          <w:rPr>
                            <w:i/>
                            <w:color w:val="000000"/>
                            <w:sz w:val="24"/>
                          </w:rPr>
                          <w:t xml:space="preserve">11.9. pėstiesiems ir (arba) dviratininkams skirta infrastruktūra: </w:t>
                        </w:r>
                        <w:r>
                          <w:rPr>
                            <w:color w:val="000000"/>
                            <w:sz w:val="24"/>
                          </w:rPr>
                          <w:t>Pagal normatyvinių dokumentų reikalavimus; Spręsti esamų pėsčiųjų ir dviračių takų sutvarkymą, trūkstamų jungčių įrengimą;</w:t>
                        </w:r>
                        <w:r>
                          <w:rPr>
                            <w:color w:val="000000"/>
                            <w:sz w:val="24"/>
                          </w:rPr>
                          <w:br/>
                        </w:r>
                        <w:r>
                          <w:rPr>
                            <w:color w:val="000000"/>
                            <w:sz w:val="24"/>
                          </w:rPr>
                          <w:br/>
                        </w:r>
                        <w:r>
                          <w:rPr>
                            <w:i/>
                            <w:color w:val="000000"/>
                            <w:sz w:val="24"/>
                          </w:rPr>
                          <w:t xml:space="preserve">11.10. pėstiesiems ir (arba) dviratininkams skirtos infrastruktūros plotis: </w:t>
                        </w:r>
                        <w:r>
                          <w:rPr>
                            <w:color w:val="000000"/>
                            <w:sz w:val="24"/>
                          </w:rPr>
                          <w:t>Pagal normatyvinių dokumentų reikalavimus;</w:t>
                        </w:r>
                        <w:r>
                          <w:rPr>
                            <w:color w:val="000000"/>
                            <w:sz w:val="24"/>
                          </w:rPr>
                          <w:br/>
                        </w:r>
                        <w:r>
                          <w:rPr>
                            <w:color w:val="000000"/>
                            <w:sz w:val="24"/>
                          </w:rPr>
                          <w:br/>
                        </w:r>
                        <w:r>
                          <w:rPr>
                            <w:i/>
                            <w:color w:val="000000"/>
                            <w:sz w:val="24"/>
                          </w:rPr>
                          <w:t xml:space="preserve">11.11. pėstiesiems ir (arba) dviratininkams skirtos infrastruktūros dangos konstrukcija: </w:t>
                        </w:r>
                        <w:r>
                          <w:rPr>
                            <w:color w:val="000000"/>
                            <w:sz w:val="24"/>
                          </w:rPr>
                          <w:t>Pagal normatyvinių dokumentų reikalavimus;</w:t>
                        </w:r>
                        <w:r>
                          <w:rPr>
                            <w:color w:val="000000"/>
                            <w:sz w:val="24"/>
                          </w:rPr>
                          <w:br/>
                        </w:r>
                        <w:r>
                          <w:rPr>
                            <w:color w:val="000000"/>
                            <w:sz w:val="24"/>
                          </w:rPr>
                          <w:br/>
                        </w:r>
                        <w:r>
                          <w:rPr>
                            <w:i/>
                            <w:color w:val="000000"/>
                            <w:sz w:val="24"/>
                          </w:rPr>
                          <w:lastRenderedPageBreak/>
                          <w:t xml:space="preserve">11.12. važiuojamosios dalies skersinis profilis: </w:t>
                        </w:r>
                        <w:r>
                          <w:rPr>
                            <w:color w:val="000000"/>
                            <w:sz w:val="24"/>
                          </w:rPr>
                          <w:t>Pagal normatyvinių dokumentų reikalavimus;</w:t>
                        </w:r>
                        <w:r>
                          <w:rPr>
                            <w:color w:val="000000"/>
                            <w:sz w:val="24"/>
                          </w:rPr>
                          <w:br/>
                        </w:r>
                        <w:r>
                          <w:rPr>
                            <w:color w:val="000000"/>
                            <w:sz w:val="24"/>
                          </w:rPr>
                          <w:br/>
                        </w:r>
                        <w:r>
                          <w:rPr>
                            <w:i/>
                            <w:color w:val="000000"/>
                            <w:sz w:val="24"/>
                          </w:rPr>
                          <w:t xml:space="preserve">11.13. dangos konstrukcijos klasė: </w:t>
                        </w:r>
                        <w:r>
                          <w:rPr>
                            <w:color w:val="000000"/>
                            <w:sz w:val="24"/>
                          </w:rPr>
                          <w:t>Pagal Automobilių kelių standartizuotų dangų konstrukcijų projektavimo taisykles; ;</w:t>
                        </w:r>
                        <w:r>
                          <w:rPr>
                            <w:color w:val="000000"/>
                            <w:sz w:val="24"/>
                          </w:rPr>
                          <w:br/>
                        </w:r>
                        <w:r>
                          <w:rPr>
                            <w:color w:val="000000"/>
                            <w:sz w:val="24"/>
                          </w:rPr>
                          <w:br/>
                        </w:r>
                        <w:r>
                          <w:rPr>
                            <w:i/>
                            <w:color w:val="000000"/>
                            <w:sz w:val="24"/>
                          </w:rPr>
                          <w:t xml:space="preserve">11.14. nuovažų skaičius: </w:t>
                        </w:r>
                        <w:r>
                          <w:rPr>
                            <w:color w:val="000000"/>
                            <w:sz w:val="24"/>
                          </w:rPr>
                          <w:t>Nustatoma projektavimo metu;</w:t>
                        </w:r>
                        <w:r>
                          <w:rPr>
                            <w:color w:val="000000"/>
                            <w:sz w:val="24"/>
                          </w:rPr>
                          <w:br/>
                        </w:r>
                        <w:r>
                          <w:rPr>
                            <w:color w:val="000000"/>
                            <w:sz w:val="24"/>
                          </w:rPr>
                          <w:br/>
                        </w:r>
                        <w:r>
                          <w:rPr>
                            <w:i/>
                            <w:color w:val="000000"/>
                            <w:sz w:val="24"/>
                          </w:rPr>
                          <w:t xml:space="preserve">11.15. numatomi / rekonstruojami inžineriniai tinklai: </w:t>
                        </w:r>
                        <w:r>
                          <w:rPr>
                            <w:color w:val="000000"/>
                            <w:sz w:val="24"/>
                          </w:rPr>
                          <w:t>Nustatoma projektavimo metu;</w:t>
                        </w:r>
                        <w:r>
                          <w:rPr>
                            <w:color w:val="000000"/>
                            <w:sz w:val="24"/>
                          </w:rPr>
                          <w:br/>
                        </w:r>
                        <w:r>
                          <w:rPr>
                            <w:color w:val="000000"/>
                            <w:sz w:val="24"/>
                          </w:rPr>
                          <w:br/>
                        </w:r>
                        <w:r>
                          <w:rPr>
                            <w:i/>
                            <w:color w:val="000000"/>
                            <w:sz w:val="24"/>
                          </w:rPr>
                          <w:t xml:space="preserve">11.16. vandens pralaidos: </w:t>
                        </w:r>
                        <w:r>
                          <w:rPr>
                            <w:color w:val="000000"/>
                            <w:sz w:val="24"/>
                          </w:rPr>
                          <w:t>Esamų tvarkymas ar naujų įrengimas nustatomas projektavimo metu (neprojektuoti pralaidų už kelio sklypo / statinio ribos);</w:t>
                        </w:r>
                        <w:r>
                          <w:rPr>
                            <w:color w:val="000000"/>
                            <w:sz w:val="24"/>
                          </w:rPr>
                          <w:br/>
                        </w:r>
                        <w:r>
                          <w:rPr>
                            <w:color w:val="000000"/>
                            <w:sz w:val="24"/>
                          </w:rPr>
                          <w:br/>
                        </w:r>
                        <w:r>
                          <w:rPr>
                            <w:i/>
                            <w:color w:val="000000"/>
                            <w:sz w:val="24"/>
                          </w:rPr>
                          <w:t xml:space="preserve">11.17. vandens nuleidimas nuo kelio: </w:t>
                        </w:r>
                        <w:r>
                          <w:rPr>
                            <w:color w:val="000000"/>
                            <w:sz w:val="24"/>
                          </w:rPr>
                          <w:t>Kelio grioviais. Nesant galimybės nuvesti lietaus vandenį projektuojamais grioviais, suprojektuoti uždarą LVN sistemą, kuri po statybos darbų bus registruojama atskiru statiniu NTR;</w:t>
                        </w:r>
                        <w:r>
                          <w:rPr>
                            <w:color w:val="000000"/>
                            <w:sz w:val="24"/>
                          </w:rPr>
                          <w:br/>
                        </w:r>
                        <w:r>
                          <w:rPr>
                            <w:color w:val="000000"/>
                            <w:sz w:val="24"/>
                          </w:rPr>
                          <w:br/>
                        </w:r>
                        <w:r>
                          <w:rPr>
                            <w:i/>
                            <w:color w:val="000000"/>
                            <w:sz w:val="24"/>
                          </w:rPr>
                          <w:t xml:space="preserve">11.18. pėsčiųjų perėjimo per kelią organizavimo priemonės vieta: </w:t>
                        </w:r>
                        <w:r>
                          <w:rPr>
                            <w:color w:val="000000"/>
                            <w:sz w:val="24"/>
                          </w:rPr>
                          <w:t>Pagal normatyvinių dokumentų reikalavimus;</w:t>
                        </w:r>
                        <w:r>
                          <w:rPr>
                            <w:color w:val="000000"/>
                            <w:sz w:val="24"/>
                          </w:rPr>
                          <w:br/>
                        </w:r>
                        <w:r>
                          <w:rPr>
                            <w:color w:val="000000"/>
                            <w:sz w:val="24"/>
                          </w:rPr>
                          <w:br/>
                        </w:r>
                        <w:r>
                          <w:rPr>
                            <w:i/>
                            <w:color w:val="000000"/>
                            <w:sz w:val="24"/>
                          </w:rPr>
                          <w:t xml:space="preserve">11.19. pėsčiųjų perėjimo per kelią organizavimo priemonės tipas: </w:t>
                        </w:r>
                        <w:r>
                          <w:rPr>
                            <w:color w:val="000000"/>
                            <w:sz w:val="24"/>
                          </w:rPr>
                          <w:t>Pagal normatyvinių dokumentų reikalavimus;</w:t>
                        </w:r>
                        <w:r>
                          <w:rPr>
                            <w:color w:val="000000"/>
                            <w:sz w:val="24"/>
                          </w:rPr>
                          <w:br/>
                        </w:r>
                        <w:r>
                          <w:rPr>
                            <w:color w:val="000000"/>
                            <w:sz w:val="24"/>
                          </w:rPr>
                          <w:br/>
                        </w:r>
                        <w:r>
                          <w:rPr>
                            <w:i/>
                            <w:color w:val="000000"/>
                            <w:sz w:val="24"/>
                          </w:rPr>
                          <w:t xml:space="preserve">11.20. pėsčiųjų perėjimo per kelią organizavimo priemonės plotis, m: </w:t>
                        </w:r>
                        <w:r>
                          <w:rPr>
                            <w:color w:val="000000"/>
                            <w:sz w:val="24"/>
                          </w:rPr>
                          <w:t>Pagal normatyvinių dokumentų reikalavimus;</w:t>
                        </w:r>
                        <w:r>
                          <w:rPr>
                            <w:color w:val="000000"/>
                            <w:sz w:val="24"/>
                          </w:rPr>
                          <w:br/>
                        </w:r>
                        <w:r>
                          <w:rPr>
                            <w:color w:val="000000"/>
                            <w:sz w:val="24"/>
                          </w:rPr>
                          <w:br/>
                        </w:r>
                        <w:r>
                          <w:rPr>
                            <w:i/>
                            <w:color w:val="000000"/>
                            <w:sz w:val="24"/>
                          </w:rPr>
                          <w:t xml:space="preserve">11.21. pėsčiųjų perėjimo per kelią organizavimo priemonės kryptinis apšvietimas: </w:t>
                        </w:r>
                        <w:r>
                          <w:rPr>
                            <w:color w:val="000000"/>
                            <w:sz w:val="24"/>
                          </w:rPr>
                          <w:t>numatyti;</w:t>
                        </w:r>
                        <w:r>
                          <w:rPr>
                            <w:color w:val="000000"/>
                            <w:sz w:val="24"/>
                          </w:rPr>
                          <w:br/>
                        </w:r>
                        <w:r>
                          <w:rPr>
                            <w:color w:val="000000"/>
                            <w:sz w:val="24"/>
                          </w:rPr>
                          <w:br/>
                        </w:r>
                        <w:r>
                          <w:rPr>
                            <w:i/>
                            <w:color w:val="000000"/>
                            <w:sz w:val="24"/>
                          </w:rPr>
                          <w:t xml:space="preserve">11.22. inžinerinės eismo saugos priemonės: </w:t>
                        </w:r>
                        <w:r>
                          <w:rPr>
                            <w:color w:val="000000"/>
                            <w:sz w:val="24"/>
                          </w:rPr>
                          <w:t>Poreikį nustatyti projektavimo metu, vadovaujantis Inžinerinių eismo saugumo priemonių įgyvendinimo rekomendacijomis;</w:t>
                        </w:r>
                        <w:r>
                          <w:rPr>
                            <w:color w:val="000000"/>
                            <w:sz w:val="24"/>
                          </w:rPr>
                          <w:br/>
                        </w:r>
                        <w:r>
                          <w:rPr>
                            <w:color w:val="000000"/>
                            <w:sz w:val="24"/>
                          </w:rPr>
                          <w:br/>
                        </w:r>
                        <w:r>
                          <w:rPr>
                            <w:i/>
                            <w:color w:val="000000"/>
                            <w:sz w:val="24"/>
                          </w:rPr>
                          <w:t xml:space="preserve">11.23. apšvietimas: </w:t>
                        </w:r>
                        <w:r>
                          <w:rPr>
                            <w:color w:val="000000"/>
                            <w:sz w:val="24"/>
                          </w:rPr>
                          <w:t>Miesto ribose numatyti apšvietimą. Esant poreikiui rekonstruoti esamą bei numatyti trūkstamose vietose. Miesto centrinėje dalyje šviestuvus derinti prie esamų šviestuvų (tipas, spalva ir pan.) ;</w:t>
                        </w:r>
                        <w:r>
                          <w:rPr>
                            <w:color w:val="000000"/>
                            <w:sz w:val="24"/>
                          </w:rPr>
                          <w:br/>
                        </w:r>
                        <w:r>
                          <w:rPr>
                            <w:color w:val="000000"/>
                            <w:sz w:val="24"/>
                          </w:rPr>
                          <w:br/>
                        </w:r>
                        <w:r>
                          <w:rPr>
                            <w:i/>
                            <w:color w:val="000000"/>
                            <w:sz w:val="24"/>
                          </w:rPr>
                          <w:t xml:space="preserve">11.24. kiti reikalavimai: </w:t>
                        </w:r>
                        <w:r>
                          <w:rPr>
                            <w:color w:val="000000"/>
                            <w:sz w:val="24"/>
                          </w:rPr>
                          <w:t>1.Tilto per Sidabrą 12,81 km rekonstravimo sprendiniai bus rengiami atskiru projektu. Valstybinės reikšmės magistralinio kelio A12 Ryga–Šiauliai–Tauragė–Kaliningradas ruožo nuo 8,02 iki 18,75 km sprendinius suderinti ir suvesti su Valstybinės reikšmės magistralinio kelio A12 Ryga–Šiauliai–Tauragė–Kaliningradas 12,81 tilto per Sidabrą rekonstravimo projekto sprendiniais, užtikrinant techninį ir funkcinį suderinamumą visame rekonstruojamame kelio ruože. 2. Numatyti mažosios architektūros elementus (suoleliai, šiukledėžės). Miesto centrinėje dalyje derintis prie esamos mažosios architektūros elementų (tipas, spalva, medžiagiškumas ir pan).</w:t>
                        </w:r>
                        <w:r>
                          <w:rPr>
                            <w:color w:val="000000"/>
                            <w:sz w:val="24"/>
                          </w:rPr>
                          <w:br/>
                          <w:t xml:space="preserve"> </w:t>
                        </w:r>
                      </w:p>
                    </w:tc>
                  </w:tr>
                  <w:tr w:rsidR="0011068A" w14:paraId="4AD28C5A" w14:textId="77777777">
                    <w:trPr>
                      <w:trHeight w:val="481"/>
                    </w:trPr>
                    <w:tc>
                      <w:tcPr>
                        <w:tcW w:w="3257" w:type="dxa"/>
                        <w:gridSpan w:val="3"/>
                        <w:tcBorders>
                          <w:top w:val="nil"/>
                          <w:left w:val="nil"/>
                          <w:bottom w:val="nil"/>
                          <w:right w:val="nil"/>
                        </w:tcBorders>
                        <w:tcMar>
                          <w:top w:w="39" w:type="dxa"/>
                          <w:left w:w="39" w:type="dxa"/>
                          <w:bottom w:w="39" w:type="dxa"/>
                          <w:right w:w="39" w:type="dxa"/>
                        </w:tcMar>
                      </w:tcPr>
                      <w:p w14:paraId="0FD072D8" w14:textId="77777777" w:rsidR="0011068A" w:rsidRDefault="00000000">
                        <w:pPr>
                          <w:spacing w:after="0" w:line="240" w:lineRule="auto"/>
                        </w:pPr>
                        <w:r>
                          <w:rPr>
                            <w:b/>
                            <w:color w:val="000000"/>
                            <w:sz w:val="24"/>
                          </w:rPr>
                          <w:lastRenderedPageBreak/>
                          <w:t>12. Projektuojant vadovautis šiais dokumentais:</w:t>
                        </w:r>
                      </w:p>
                    </w:tc>
                  </w:tr>
                  <w:tr w:rsidR="0011068A" w14:paraId="04641DF1" w14:textId="77777777">
                    <w:trPr>
                      <w:trHeight w:val="581"/>
                    </w:trPr>
                    <w:tc>
                      <w:tcPr>
                        <w:tcW w:w="3257" w:type="dxa"/>
                        <w:gridSpan w:val="3"/>
                        <w:tcBorders>
                          <w:top w:val="nil"/>
                          <w:left w:val="nil"/>
                          <w:bottom w:val="nil"/>
                          <w:right w:val="nil"/>
                        </w:tcBorders>
                        <w:tcMar>
                          <w:top w:w="39" w:type="dxa"/>
                          <w:left w:w="39" w:type="dxa"/>
                          <w:bottom w:w="39" w:type="dxa"/>
                          <w:right w:w="39" w:type="dxa"/>
                        </w:tcMar>
                      </w:tcPr>
                      <w:p w14:paraId="0A5F4844" w14:textId="77777777" w:rsidR="0011068A" w:rsidRDefault="00000000">
                        <w:pPr>
                          <w:spacing w:after="0" w:line="240" w:lineRule="auto"/>
                          <w:ind w:left="720" w:hanging="360"/>
                        </w:pPr>
                        <w:r>
                          <w:rPr>
                            <w:i/>
                            <w:color w:val="000000"/>
                            <w:sz w:val="24"/>
                          </w:rPr>
                          <w:t xml:space="preserve">12.1. Lietuvos Respublikos kelių įstatymu, Lietuvos Respublikos statybos įstatymu, kelių techniniu reglamentu, statybos techniniais reglamentais, higienos normomis, kitais poįstatyminiais teisės aktais: </w:t>
                        </w:r>
                        <w:r>
                          <w:rPr>
                            <w:color w:val="000000"/>
                            <w:sz w:val="24"/>
                          </w:rPr>
                          <w:t>Taip;</w:t>
                        </w:r>
                        <w:r>
                          <w:rPr>
                            <w:color w:val="000000"/>
                            <w:sz w:val="24"/>
                          </w:rPr>
                          <w:br/>
                        </w:r>
                        <w:r>
                          <w:rPr>
                            <w:color w:val="000000"/>
                            <w:sz w:val="24"/>
                          </w:rPr>
                          <w:br/>
                        </w:r>
                        <w:r>
                          <w:rPr>
                            <w:i/>
                            <w:color w:val="000000"/>
                            <w:sz w:val="24"/>
                          </w:rPr>
                          <w:t xml:space="preserve">12.2. kitais galiojančiais įstatymais, teisės aktais ir normatyviniais statybos techniniais dokumentais, įskaitant, bet neapsiribojant, nurodytais Akcinės bendrovės Via Lietuva interneto svetainėje adresu https://vialietuva.lt/normatyviniai-dokumentai : </w:t>
                        </w:r>
                        <w:r>
                          <w:rPr>
                            <w:color w:val="000000"/>
                            <w:sz w:val="24"/>
                          </w:rPr>
                          <w:t>Taip;</w:t>
                        </w:r>
                        <w:r>
                          <w:rPr>
                            <w:color w:val="000000"/>
                            <w:sz w:val="24"/>
                          </w:rPr>
                          <w:br/>
                        </w:r>
                        <w:r>
                          <w:rPr>
                            <w:color w:val="000000"/>
                            <w:sz w:val="24"/>
                          </w:rPr>
                          <w:br/>
                        </w:r>
                        <w:r>
                          <w:rPr>
                            <w:i/>
                            <w:color w:val="000000"/>
                            <w:sz w:val="24"/>
                          </w:rPr>
                          <w:t xml:space="preserve">12.3. projekto rengimo dokumentais: </w:t>
                        </w:r>
                        <w:r>
                          <w:rPr>
                            <w:color w:val="000000"/>
                            <w:sz w:val="24"/>
                          </w:rPr>
                          <w:t>Taip;</w:t>
                        </w:r>
                        <w:r>
                          <w:rPr>
                            <w:color w:val="000000"/>
                            <w:sz w:val="24"/>
                          </w:rPr>
                          <w:br/>
                        </w:r>
                        <w:r>
                          <w:rPr>
                            <w:color w:val="000000"/>
                            <w:sz w:val="24"/>
                          </w:rPr>
                          <w:br/>
                        </w:r>
                        <w:r>
                          <w:rPr>
                            <w:i/>
                            <w:color w:val="000000"/>
                            <w:sz w:val="24"/>
                          </w:rPr>
                          <w:t xml:space="preserve">12.4. prisijungimo sąlygomis: </w:t>
                        </w:r>
                        <w:r>
                          <w:rPr>
                            <w:color w:val="000000"/>
                            <w:sz w:val="24"/>
                          </w:rPr>
                          <w:t>Taip.</w:t>
                        </w:r>
                        <w:r>
                          <w:rPr>
                            <w:color w:val="000000"/>
                            <w:sz w:val="24"/>
                          </w:rPr>
                          <w:br/>
                          <w:t xml:space="preserve"> </w:t>
                        </w:r>
                      </w:p>
                    </w:tc>
                  </w:tr>
                  <w:tr w:rsidR="0011068A" w14:paraId="38E21B14" w14:textId="77777777">
                    <w:trPr>
                      <w:trHeight w:val="1135"/>
                    </w:trPr>
                    <w:tc>
                      <w:tcPr>
                        <w:tcW w:w="3257" w:type="dxa"/>
                        <w:gridSpan w:val="3"/>
                        <w:tcBorders>
                          <w:top w:val="nil"/>
                          <w:left w:val="nil"/>
                          <w:bottom w:val="nil"/>
                          <w:right w:val="nil"/>
                        </w:tcBorders>
                        <w:tcMar>
                          <w:top w:w="39" w:type="dxa"/>
                          <w:left w:w="39" w:type="dxa"/>
                          <w:bottom w:w="39" w:type="dxa"/>
                          <w:right w:w="39" w:type="dxa"/>
                        </w:tcMar>
                      </w:tcPr>
                      <w:p w14:paraId="0FDD53BC" w14:textId="77777777" w:rsidR="0011068A" w:rsidRDefault="00000000">
                        <w:pPr>
                          <w:spacing w:after="0" w:line="240" w:lineRule="auto"/>
                        </w:pPr>
                        <w:r>
                          <w:rPr>
                            <w:b/>
                            <w:color w:val="000000"/>
                            <w:sz w:val="24"/>
                          </w:rPr>
                          <w:t xml:space="preserve">13. Finansavimo šaltinis: </w:t>
                        </w:r>
                        <w:r>
                          <w:rPr>
                            <w:color w:val="000000"/>
                            <w:sz w:val="24"/>
                          </w:rPr>
                          <w:br/>
                          <w:t>Kelių priežiūros ir plėtros programos lėšos.</w:t>
                        </w:r>
                        <w:r>
                          <w:rPr>
                            <w:color w:val="000000"/>
                            <w:sz w:val="24"/>
                          </w:rPr>
                          <w:br/>
                        </w:r>
                        <w:r>
                          <w:rPr>
                            <w:color w:val="000000"/>
                            <w:sz w:val="24"/>
                          </w:rPr>
                          <w:br/>
                        </w:r>
                        <w:r>
                          <w:rPr>
                            <w:b/>
                            <w:color w:val="000000"/>
                            <w:sz w:val="24"/>
                          </w:rPr>
                          <w:t xml:space="preserve">14. Projekto apimtis: </w:t>
                        </w:r>
                        <w:r>
                          <w:rPr>
                            <w:color w:val="000000"/>
                            <w:sz w:val="24"/>
                          </w:rPr>
                          <w:br/>
                          <w:t>Pagal STR 1.04.04:2017 „Statinio projektavimas, projekto ekspertizė“.</w:t>
                        </w:r>
                        <w:r>
                          <w:rPr>
                            <w:color w:val="000000"/>
                            <w:sz w:val="24"/>
                          </w:rPr>
                          <w:br/>
                        </w:r>
                        <w:r>
                          <w:rPr>
                            <w:color w:val="000000"/>
                            <w:sz w:val="24"/>
                          </w:rPr>
                          <w:br/>
                        </w:r>
                        <w:r>
                          <w:rPr>
                            <w:b/>
                            <w:color w:val="000000"/>
                            <w:sz w:val="24"/>
                          </w:rPr>
                          <w:t xml:space="preserve">15. Papildomos paslaugos (paslaugos, deleguotos Statytojo projektuotojui): </w:t>
                        </w:r>
                        <w:r>
                          <w:rPr>
                            <w:color w:val="000000"/>
                            <w:sz w:val="24"/>
                          </w:rPr>
                          <w:br/>
                          <w:t>Atlikti kitas papildomas paslaugas kaip tai numato Techninė specifikacija ir Sutarties sąlygos.</w:t>
                        </w:r>
                        <w:r>
                          <w:rPr>
                            <w:color w:val="000000"/>
                            <w:sz w:val="24"/>
                          </w:rPr>
                          <w:br/>
                        </w:r>
                        <w:r>
                          <w:rPr>
                            <w:color w:val="000000"/>
                            <w:sz w:val="24"/>
                          </w:rPr>
                          <w:br/>
                        </w:r>
                        <w:r>
                          <w:rPr>
                            <w:b/>
                            <w:color w:val="000000"/>
                            <w:sz w:val="24"/>
                          </w:rPr>
                          <w:t xml:space="preserve">16. Su šia užduotimi pateikiami Statytojo privalomieji ir kiti dokumentai projektui rengti bei šių dokumentų pateikimo laikotarpis: </w:t>
                        </w:r>
                        <w:r>
                          <w:rPr>
                            <w:color w:val="000000"/>
                            <w:sz w:val="24"/>
                          </w:rPr>
                          <w:br/>
                          <w:t>Priedas Nr. 1. Techninė specifikacija; Priedas Nr. 1.1 Prašymo forma „Dėl ekspertizės atlikimo“. Priedas Nr. 1.2. Prašymo forma „Dėl projekto perdavimo statytojo (užsakovo) tvirtinimui“. Priedas Nr. 1.3. Prašymo forma „Dėl projekto perdavimo po rangos darbų pirkimo“. Priedas Nr. 1.4. Bendrųjų statinio rodiklių forma. Priedas Nr. 1.5. Statinio fizinių rodiklių sąrašas. Priedas Nr. 1.6. Naujų projektų laidų parengimo gairės. Priedas Nr. 1.7. Reikalavimai žiniaraščiams. Priedas Nr. 1.8. BIM reikalavimai. Priedas Nr. 1.9. Transporto srautų tyrimų ir modeliavimo užduotis. Priedas Nr. 1.10. Kadastrinių matavimų bylos (pateikiama pasirašius paslaugų sutartį).</w:t>
                        </w:r>
                        <w:r>
                          <w:rPr>
                            <w:color w:val="000000"/>
                            <w:sz w:val="24"/>
                          </w:rPr>
                          <w:br/>
                        </w:r>
                        <w:r>
                          <w:rPr>
                            <w:color w:val="000000"/>
                            <w:sz w:val="24"/>
                          </w:rPr>
                          <w:br/>
                        </w:r>
                        <w:r>
                          <w:rPr>
                            <w:b/>
                            <w:color w:val="000000"/>
                            <w:sz w:val="24"/>
                          </w:rPr>
                          <w:t xml:space="preserve">17. Žemės sklypo statinio teisinės registracijos Nekilnojamojo turto registre duomenys: </w:t>
                        </w:r>
                        <w:r>
                          <w:rPr>
                            <w:color w:val="000000"/>
                            <w:sz w:val="24"/>
                          </w:rPr>
                          <w:br/>
                          <w:t>Žemės sklypo unikalūs numeriai: 4400-2348-4277; 4400-2348-4299; 4400-2348-4366; 4400-2424-0195. Inžinerinio statinio unikalūs numeriai: 4400-6248-5232; 4400-6248-5243.</w:t>
                        </w:r>
                        <w:r>
                          <w:rPr>
                            <w:color w:val="000000"/>
                            <w:sz w:val="24"/>
                          </w:rPr>
                          <w:br/>
                        </w:r>
                        <w:r>
                          <w:rPr>
                            <w:color w:val="000000"/>
                            <w:sz w:val="24"/>
                          </w:rPr>
                          <w:br/>
                        </w:r>
                        <w:r>
                          <w:rPr>
                            <w:b/>
                            <w:color w:val="000000"/>
                            <w:sz w:val="24"/>
                          </w:rPr>
                          <w:t xml:space="preserve">18. Kiti nurodymai / reikalavimai: </w:t>
                        </w:r>
                        <w:r>
                          <w:rPr>
                            <w:color w:val="000000"/>
                            <w:sz w:val="24"/>
                          </w:rPr>
                          <w:br/>
                          <w:t xml:space="preserve">1.Esamų ITS įrenginių pertvarkymo reikalavimai ir naujų poreikis pateiktas techninės specifikacijos p.11.18. 2.Informacija apie rekonstruojamame ruože esančias nekilnojamąsias kulturos vertybes pateikta techninės specifikacijos p.3.6. 3.Projekto apimtyje turi būti parengtas skaitmeninis statybos projekto modelis taikant BIM metodologiją pagal Užsakovo informacijos reikalavimų formose BIM-1, BIM-2 išdėstytus reikalavimus ir juos lydinčius priedus (pridedami). 4.Projektuojamų/rekonstruojamų statinių (viadukų) pagrindiniai konstrukciniai sprendiniai turi būti </w:t>
                        </w:r>
                        <w:r>
                          <w:rPr>
                            <w:color w:val="000000"/>
                            <w:sz w:val="24"/>
                          </w:rPr>
                          <w:lastRenderedPageBreak/>
                          <w:t>parenkami taikant variantinį projektavimo principą, t. y. turi būti siūlomi keli (bent 2) konstrukcijų elementų parinkimo sprendiniai. Pateikti siūlomų variantų palyginimą (taikymo privalumai bei trūkumai, ekonominis palyginimas). .</w:t>
                        </w:r>
                        <w:r>
                          <w:rPr>
                            <w:color w:val="000000"/>
                            <w:sz w:val="24"/>
                          </w:rPr>
                          <w:br/>
                          <w:t xml:space="preserve"> </w:t>
                        </w:r>
                      </w:p>
                    </w:tc>
                  </w:tr>
                  <w:tr w:rsidR="0011068A" w14:paraId="49CCAF86" w14:textId="77777777">
                    <w:trPr>
                      <w:trHeight w:val="2256"/>
                    </w:trPr>
                    <w:tc>
                      <w:tcPr>
                        <w:tcW w:w="3257" w:type="dxa"/>
                        <w:tcBorders>
                          <w:top w:val="nil"/>
                          <w:left w:val="nil"/>
                          <w:bottom w:val="nil"/>
                          <w:right w:val="nil"/>
                        </w:tcBorders>
                        <w:tcMar>
                          <w:top w:w="39" w:type="dxa"/>
                          <w:left w:w="39" w:type="dxa"/>
                          <w:bottom w:w="39" w:type="dxa"/>
                          <w:right w:w="39" w:type="dxa"/>
                        </w:tcMar>
                      </w:tcPr>
                      <w:p w14:paraId="5535A88E" w14:textId="77777777" w:rsidR="0011068A" w:rsidRDefault="0011068A">
                        <w:pPr>
                          <w:spacing w:after="0" w:line="240" w:lineRule="auto"/>
                          <w:jc w:val="center"/>
                        </w:pPr>
                      </w:p>
                      <w:p w14:paraId="069024B5" w14:textId="77777777" w:rsidR="0011068A" w:rsidRDefault="00000000">
                        <w:pPr>
                          <w:spacing w:after="0" w:line="240" w:lineRule="auto"/>
                          <w:jc w:val="center"/>
                        </w:pPr>
                        <w:r>
                          <w:rPr>
                            <w:color w:val="000000"/>
                            <w:sz w:val="24"/>
                          </w:rPr>
                          <w:t>STATYTOJAS</w:t>
                        </w:r>
                      </w:p>
                      <w:p w14:paraId="62DCF46A" w14:textId="77777777" w:rsidR="0011068A" w:rsidRDefault="00000000">
                        <w:pPr>
                          <w:spacing w:after="0" w:line="240" w:lineRule="auto"/>
                          <w:jc w:val="center"/>
                        </w:pPr>
                        <w:r>
                          <w:rPr>
                            <w:color w:val="000000"/>
                            <w:sz w:val="24"/>
                          </w:rPr>
                          <w:t>Akcinė bendrovė Via Lietuva</w:t>
                        </w:r>
                      </w:p>
                      <w:p w14:paraId="51997D58" w14:textId="77777777" w:rsidR="0011068A" w:rsidRDefault="0011068A">
                        <w:pPr>
                          <w:spacing w:after="0" w:line="240" w:lineRule="auto"/>
                          <w:jc w:val="center"/>
                        </w:pPr>
                      </w:p>
                      <w:p w14:paraId="086A75F5" w14:textId="77777777" w:rsidR="0011068A" w:rsidRDefault="00000000">
                        <w:pPr>
                          <w:spacing w:after="0" w:line="240" w:lineRule="auto"/>
                          <w:jc w:val="center"/>
                        </w:pPr>
                        <w:r>
                          <w:rPr>
                            <w:color w:val="000000"/>
                            <w:sz w:val="24"/>
                          </w:rPr>
                          <w:t>(vardas, pavardė, parašas, data)</w:t>
                        </w:r>
                      </w:p>
                    </w:tc>
                    <w:tc>
                      <w:tcPr>
                        <w:tcW w:w="3257" w:type="dxa"/>
                        <w:tcBorders>
                          <w:top w:val="nil"/>
                          <w:left w:val="nil"/>
                          <w:bottom w:val="nil"/>
                          <w:right w:val="nil"/>
                        </w:tcBorders>
                        <w:tcMar>
                          <w:top w:w="39" w:type="dxa"/>
                          <w:left w:w="39" w:type="dxa"/>
                          <w:bottom w:w="39" w:type="dxa"/>
                          <w:right w:w="39" w:type="dxa"/>
                        </w:tcMar>
                      </w:tcPr>
                      <w:p w14:paraId="773BFB70" w14:textId="77777777" w:rsidR="0011068A" w:rsidRDefault="0011068A">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5329E3CF" w14:textId="77777777" w:rsidR="0011068A" w:rsidRDefault="0011068A">
                        <w:pPr>
                          <w:spacing w:after="0" w:line="240" w:lineRule="auto"/>
                          <w:jc w:val="center"/>
                        </w:pPr>
                      </w:p>
                      <w:p w14:paraId="09155A3D" w14:textId="77777777" w:rsidR="0011068A" w:rsidRDefault="00000000">
                        <w:pPr>
                          <w:spacing w:after="0" w:line="240" w:lineRule="auto"/>
                          <w:jc w:val="center"/>
                        </w:pPr>
                        <w:r>
                          <w:rPr>
                            <w:color w:val="000000"/>
                            <w:sz w:val="24"/>
                          </w:rPr>
                          <w:t>PROJEKTUOTOJAS</w:t>
                        </w:r>
                      </w:p>
                      <w:p w14:paraId="13338811" w14:textId="77777777" w:rsidR="0011068A" w:rsidRDefault="0011068A">
                        <w:pPr>
                          <w:spacing w:after="0" w:line="240" w:lineRule="auto"/>
                          <w:jc w:val="center"/>
                        </w:pPr>
                      </w:p>
                      <w:p w14:paraId="3AF7A69A" w14:textId="77777777" w:rsidR="0011068A" w:rsidRDefault="0011068A">
                        <w:pPr>
                          <w:spacing w:after="0" w:line="240" w:lineRule="auto"/>
                          <w:jc w:val="center"/>
                        </w:pPr>
                      </w:p>
                      <w:p w14:paraId="49BF4526" w14:textId="77777777" w:rsidR="0011068A" w:rsidRDefault="00000000">
                        <w:pPr>
                          <w:spacing w:after="0" w:line="240" w:lineRule="auto"/>
                          <w:jc w:val="center"/>
                        </w:pPr>
                        <w:r>
                          <w:rPr>
                            <w:color w:val="000000"/>
                            <w:sz w:val="24"/>
                          </w:rPr>
                          <w:t>(vardas, pavardė, parašas, data)</w:t>
                        </w:r>
                      </w:p>
                    </w:tc>
                  </w:tr>
                </w:tbl>
                <w:p w14:paraId="4C769706" w14:textId="77777777" w:rsidR="0011068A" w:rsidRDefault="0011068A">
                  <w:pPr>
                    <w:spacing w:after="0" w:line="240" w:lineRule="auto"/>
                  </w:pPr>
                </w:p>
              </w:tc>
            </w:tr>
          </w:tbl>
          <w:p w14:paraId="38AB25EC" w14:textId="77777777" w:rsidR="0011068A" w:rsidRDefault="0011068A">
            <w:pPr>
              <w:spacing w:after="0" w:line="240" w:lineRule="auto"/>
            </w:pPr>
          </w:p>
        </w:tc>
        <w:tc>
          <w:tcPr>
            <w:tcW w:w="614" w:type="dxa"/>
          </w:tcPr>
          <w:p w14:paraId="18DA9565" w14:textId="77777777" w:rsidR="0011068A" w:rsidRDefault="0011068A">
            <w:pPr>
              <w:pStyle w:val="EmptyCellLayoutStyle"/>
              <w:spacing w:after="0" w:line="240" w:lineRule="auto"/>
            </w:pPr>
          </w:p>
        </w:tc>
      </w:tr>
      <w:tr w:rsidR="0011068A" w14:paraId="743D110B" w14:textId="77777777">
        <w:trPr>
          <w:trHeight w:val="952"/>
        </w:trPr>
        <w:tc>
          <w:tcPr>
            <w:tcW w:w="638" w:type="dxa"/>
          </w:tcPr>
          <w:p w14:paraId="263A8B49" w14:textId="77777777" w:rsidR="0011068A" w:rsidRDefault="0011068A">
            <w:pPr>
              <w:pStyle w:val="EmptyCellLayoutStyle"/>
              <w:spacing w:after="0" w:line="240" w:lineRule="auto"/>
            </w:pPr>
          </w:p>
        </w:tc>
        <w:tc>
          <w:tcPr>
            <w:tcW w:w="9771" w:type="dxa"/>
          </w:tcPr>
          <w:p w14:paraId="2EFE2A90" w14:textId="77777777" w:rsidR="0011068A" w:rsidRDefault="0011068A">
            <w:pPr>
              <w:pStyle w:val="EmptyCellLayoutStyle"/>
              <w:spacing w:after="0" w:line="240" w:lineRule="auto"/>
            </w:pPr>
          </w:p>
        </w:tc>
        <w:tc>
          <w:tcPr>
            <w:tcW w:w="614" w:type="dxa"/>
          </w:tcPr>
          <w:p w14:paraId="67B3B53F" w14:textId="77777777" w:rsidR="0011068A" w:rsidRDefault="0011068A">
            <w:pPr>
              <w:pStyle w:val="EmptyCellLayoutStyle"/>
              <w:spacing w:after="0" w:line="240" w:lineRule="auto"/>
            </w:pPr>
          </w:p>
        </w:tc>
      </w:tr>
    </w:tbl>
    <w:p w14:paraId="65C3C70F" w14:textId="77777777" w:rsidR="0011068A" w:rsidRDefault="0011068A">
      <w:pPr>
        <w:spacing w:after="0" w:line="240" w:lineRule="auto"/>
      </w:pPr>
    </w:p>
    <w:sectPr w:rsidR="0011068A">
      <w:pgSz w:w="12584" w:h="16837"/>
      <w:pgMar w:top="2125" w:right="566" w:bottom="2332" w:left="992" w:header="1559" w:footer="1133"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FAAFAAA"/>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 w15:restartNumberingAfterBreak="0">
    <w:nsid w:val="00000002"/>
    <w:multiLevelType w:val="multilevel"/>
    <w:tmpl w:val="822433D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 w15:restartNumberingAfterBreak="0">
    <w:nsid w:val="00000003"/>
    <w:multiLevelType w:val="multilevel"/>
    <w:tmpl w:val="7544278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3" w15:restartNumberingAfterBreak="0">
    <w:nsid w:val="00000004"/>
    <w:multiLevelType w:val="multilevel"/>
    <w:tmpl w:val="15FCB80E"/>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4" w15:restartNumberingAfterBreak="0">
    <w:nsid w:val="00000005"/>
    <w:multiLevelType w:val="multilevel"/>
    <w:tmpl w:val="572A594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5" w15:restartNumberingAfterBreak="0">
    <w:nsid w:val="00000006"/>
    <w:multiLevelType w:val="multilevel"/>
    <w:tmpl w:val="20BAD95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6" w15:restartNumberingAfterBreak="0">
    <w:nsid w:val="00000007"/>
    <w:multiLevelType w:val="multilevel"/>
    <w:tmpl w:val="D058743C"/>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7" w15:restartNumberingAfterBreak="0">
    <w:nsid w:val="00000008"/>
    <w:multiLevelType w:val="multilevel"/>
    <w:tmpl w:val="1CF42BD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8" w15:restartNumberingAfterBreak="0">
    <w:nsid w:val="00000009"/>
    <w:multiLevelType w:val="multilevel"/>
    <w:tmpl w:val="0486CAA0"/>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9" w15:restartNumberingAfterBreak="0">
    <w:nsid w:val="0000000A"/>
    <w:multiLevelType w:val="multilevel"/>
    <w:tmpl w:val="1DD49A1E"/>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0" w15:restartNumberingAfterBreak="0">
    <w:nsid w:val="0000000B"/>
    <w:multiLevelType w:val="multilevel"/>
    <w:tmpl w:val="0FF45360"/>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1" w15:restartNumberingAfterBreak="0">
    <w:nsid w:val="0000000C"/>
    <w:multiLevelType w:val="multilevel"/>
    <w:tmpl w:val="A58433F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2" w15:restartNumberingAfterBreak="0">
    <w:nsid w:val="0000000D"/>
    <w:multiLevelType w:val="multilevel"/>
    <w:tmpl w:val="F6B2A80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3" w15:restartNumberingAfterBreak="0">
    <w:nsid w:val="0000000E"/>
    <w:multiLevelType w:val="multilevel"/>
    <w:tmpl w:val="2804700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4" w15:restartNumberingAfterBreak="0">
    <w:nsid w:val="0000000F"/>
    <w:multiLevelType w:val="multilevel"/>
    <w:tmpl w:val="FE34CC8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5" w15:restartNumberingAfterBreak="0">
    <w:nsid w:val="00000010"/>
    <w:multiLevelType w:val="multilevel"/>
    <w:tmpl w:val="074672E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6" w15:restartNumberingAfterBreak="0">
    <w:nsid w:val="00000011"/>
    <w:multiLevelType w:val="multilevel"/>
    <w:tmpl w:val="0F2EC18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7" w15:restartNumberingAfterBreak="0">
    <w:nsid w:val="00000012"/>
    <w:multiLevelType w:val="multilevel"/>
    <w:tmpl w:val="AB845AA0"/>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8" w15:restartNumberingAfterBreak="0">
    <w:nsid w:val="00000013"/>
    <w:multiLevelType w:val="multilevel"/>
    <w:tmpl w:val="B9E891E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9" w15:restartNumberingAfterBreak="0">
    <w:nsid w:val="00000014"/>
    <w:multiLevelType w:val="multilevel"/>
    <w:tmpl w:val="DB6E8E5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0" w15:restartNumberingAfterBreak="0">
    <w:nsid w:val="00000015"/>
    <w:multiLevelType w:val="multilevel"/>
    <w:tmpl w:val="BC4AEC60"/>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1" w15:restartNumberingAfterBreak="0">
    <w:nsid w:val="00000016"/>
    <w:multiLevelType w:val="multilevel"/>
    <w:tmpl w:val="0BA4120C"/>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2" w15:restartNumberingAfterBreak="0">
    <w:nsid w:val="00000017"/>
    <w:multiLevelType w:val="multilevel"/>
    <w:tmpl w:val="00BEECC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3" w15:restartNumberingAfterBreak="0">
    <w:nsid w:val="00000018"/>
    <w:multiLevelType w:val="multilevel"/>
    <w:tmpl w:val="4D66AA8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num w:numId="1" w16cid:durableId="1048920419">
    <w:abstractNumId w:val="0"/>
  </w:num>
  <w:num w:numId="2" w16cid:durableId="446509555">
    <w:abstractNumId w:val="1"/>
  </w:num>
  <w:num w:numId="3" w16cid:durableId="545219774">
    <w:abstractNumId w:val="2"/>
  </w:num>
  <w:num w:numId="4" w16cid:durableId="1417361051">
    <w:abstractNumId w:val="3"/>
  </w:num>
  <w:num w:numId="5" w16cid:durableId="107168598">
    <w:abstractNumId w:val="4"/>
  </w:num>
  <w:num w:numId="6" w16cid:durableId="1241332780">
    <w:abstractNumId w:val="5"/>
  </w:num>
  <w:num w:numId="7" w16cid:durableId="1359356175">
    <w:abstractNumId w:val="6"/>
  </w:num>
  <w:num w:numId="8" w16cid:durableId="2089228726">
    <w:abstractNumId w:val="7"/>
  </w:num>
  <w:num w:numId="9" w16cid:durableId="163128643">
    <w:abstractNumId w:val="8"/>
  </w:num>
  <w:num w:numId="10" w16cid:durableId="1703941699">
    <w:abstractNumId w:val="9"/>
  </w:num>
  <w:num w:numId="11" w16cid:durableId="843595441">
    <w:abstractNumId w:val="10"/>
  </w:num>
  <w:num w:numId="12" w16cid:durableId="901332897">
    <w:abstractNumId w:val="11"/>
  </w:num>
  <w:num w:numId="13" w16cid:durableId="2126343835">
    <w:abstractNumId w:val="12"/>
  </w:num>
  <w:num w:numId="14" w16cid:durableId="132212261">
    <w:abstractNumId w:val="13"/>
  </w:num>
  <w:num w:numId="15" w16cid:durableId="856967161">
    <w:abstractNumId w:val="14"/>
  </w:num>
  <w:num w:numId="16" w16cid:durableId="1443573480">
    <w:abstractNumId w:val="15"/>
  </w:num>
  <w:num w:numId="17" w16cid:durableId="269631334">
    <w:abstractNumId w:val="16"/>
  </w:num>
  <w:num w:numId="18" w16cid:durableId="540092734">
    <w:abstractNumId w:val="17"/>
  </w:num>
  <w:num w:numId="19" w16cid:durableId="1556501643">
    <w:abstractNumId w:val="18"/>
  </w:num>
  <w:num w:numId="20" w16cid:durableId="822163026">
    <w:abstractNumId w:val="19"/>
  </w:num>
  <w:num w:numId="21" w16cid:durableId="1374891924">
    <w:abstractNumId w:val="20"/>
  </w:num>
  <w:num w:numId="22" w16cid:durableId="40370291">
    <w:abstractNumId w:val="21"/>
  </w:num>
  <w:num w:numId="23" w16cid:durableId="1654335044">
    <w:abstractNumId w:val="22"/>
  </w:num>
  <w:num w:numId="24" w16cid:durableId="15903844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68A"/>
    <w:rsid w:val="0011068A"/>
    <w:rsid w:val="00782DD8"/>
    <w:rsid w:val="00F403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FC21B"/>
  <w15:docId w15:val="{E1EEF36C-B706-4199-B288-7E7F83C4B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ptyCellLayoutStyle">
    <w:name w:val="EmptyCellLayoutStyle"/>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fbbbf2f6590231f4dcc52c6fc93ceaf3">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042e8037d5743c1a2c93b1a6e94e386"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Props1.xml><?xml version="1.0" encoding="utf-8"?>
<ds:datastoreItem xmlns:ds="http://schemas.openxmlformats.org/officeDocument/2006/customXml" ds:itemID="{405FDA23-702D-47F1-A8F5-7144961C2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26CF8-6DC4-4775-B07B-3931A295542D}">
  <ds:schemaRefs>
    <ds:schemaRef ds:uri="http://schemas.microsoft.com/sharepoint/v3/contenttype/forms"/>
  </ds:schemaRefs>
</ds:datastoreItem>
</file>

<file path=customXml/itemProps3.xml><?xml version="1.0" encoding="utf-8"?>
<ds:datastoreItem xmlns:ds="http://schemas.openxmlformats.org/officeDocument/2006/customXml" ds:itemID="{BEB64875-1BEF-4E20-A5F3-8F88F628AFB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5268</Words>
  <Characters>3003</Characters>
  <Application>Microsoft Office Word</Application>
  <DocSecurity>0</DocSecurity>
  <Lines>25</Lines>
  <Paragraphs>16</Paragraphs>
  <ScaleCrop>false</ScaleCrop>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
  <dc:description/>
  <cp:lastModifiedBy>Vytautė Janušauskienė</cp:lastModifiedBy>
  <cp:revision>7</cp:revision>
  <dcterms:created xsi:type="dcterms:W3CDTF">2025-12-16T12:46:00Z</dcterms:created>
  <dcterms:modified xsi:type="dcterms:W3CDTF">2025-12-19T06:48:00Z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